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ACED"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rPr>
        <w:t>Na temelju članka 37. Zakona o proračunu („Narodne novine“ broj 144/21) i članka 215. Pravilnika o proračunskom računovodstvu i Računskom planu („Narodne novine“ broj 158/23 i 154/24), Općinsko vijeće Općine Sveti Filip i Jakov donosi</w:t>
      </w:r>
    </w:p>
    <w:p w14:paraId="1ABFF284" w14:textId="77777777" w:rsidR="00071560" w:rsidRPr="00071560" w:rsidRDefault="00071560" w:rsidP="00071560">
      <w:pPr>
        <w:spacing w:after="0" w:line="360" w:lineRule="auto"/>
        <w:jc w:val="both"/>
        <w:rPr>
          <w:rFonts w:ascii="Cambria" w:eastAsia="Aptos" w:hAnsi="Cambria" w:cs="Times New Roman"/>
        </w:rPr>
      </w:pPr>
    </w:p>
    <w:p w14:paraId="50C77384" w14:textId="77777777" w:rsidR="00071560" w:rsidRPr="00071560" w:rsidRDefault="00071560" w:rsidP="00071560">
      <w:pPr>
        <w:spacing w:after="0" w:line="360" w:lineRule="auto"/>
        <w:jc w:val="center"/>
        <w:rPr>
          <w:rFonts w:ascii="Cambria" w:eastAsia="Aptos" w:hAnsi="Cambria" w:cs="Times New Roman"/>
        </w:rPr>
      </w:pPr>
      <w:r w:rsidRPr="00071560">
        <w:rPr>
          <w:rFonts w:ascii="Cambria" w:eastAsia="Aptos" w:hAnsi="Cambria" w:cs="Times New Roman"/>
          <w:b/>
          <w:bCs/>
        </w:rPr>
        <w:t>VIŠEGODIŠNJI PLAN URAVNOTEŽENJA</w:t>
      </w:r>
      <w:r w:rsidRPr="00071560">
        <w:rPr>
          <w:rFonts w:ascii="Cambria" w:eastAsia="Aptos" w:hAnsi="Cambria" w:cs="Times New Roman"/>
        </w:rPr>
        <w:t xml:space="preserve"> </w:t>
      </w:r>
      <w:r w:rsidRPr="00071560">
        <w:rPr>
          <w:rFonts w:ascii="Cambria" w:eastAsia="Aptos" w:hAnsi="Cambria" w:cs="Times New Roman"/>
          <w:b/>
          <w:bCs/>
        </w:rPr>
        <w:t>PRORAČUNA OPĆINE SVETI FILIP I JAKOV ZA RAZDOBLJE 2026. – 2028.</w:t>
      </w:r>
    </w:p>
    <w:p w14:paraId="0EA76653"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b/>
          <w:bCs/>
        </w:rPr>
        <w:t>I. UVOD I ZAKONSKA OSNOVA</w:t>
      </w:r>
    </w:p>
    <w:p w14:paraId="470D29B0"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rPr>
        <w:t>Sukladno članku 10. Zakona o proračunu, proračun mora biti uravnotežen. Budući da Općina iskazuje preneseni manjak iz prethodnih godina koji se planira podmiriti u nadolazećem razdoblju, donosi se ovaj Plan radi osiguranja financijske stabilnosti i likvidnosti.</w:t>
      </w:r>
    </w:p>
    <w:p w14:paraId="5F050CDE"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b/>
          <w:bCs/>
        </w:rPr>
        <w:t>II. ANALIZA FINANCIJSKOG STANJA I UZROCI MANJKA</w:t>
      </w:r>
    </w:p>
    <w:p w14:paraId="5FCB88DF"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rPr>
        <w:t>Analizom financijskih izvještaja utvrđeno je postojanje manjka prihoda i primitaka. Glavni uzroci manjka su:</w:t>
      </w:r>
    </w:p>
    <w:p w14:paraId="1E4EC641"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rPr>
        <w:t xml:space="preserve">1. Dinamika realizacije velikih kapitalnih projekata (Centar za starije osobe, Dječji vrtić </w:t>
      </w:r>
      <w:proofErr w:type="spellStart"/>
      <w:r w:rsidRPr="00071560">
        <w:rPr>
          <w:rFonts w:ascii="Cambria" w:eastAsia="Aptos" w:hAnsi="Cambria" w:cs="Times New Roman"/>
        </w:rPr>
        <w:t>Cvitak</w:t>
      </w:r>
      <w:proofErr w:type="spellEnd"/>
      <w:r w:rsidRPr="00071560">
        <w:rPr>
          <w:rFonts w:ascii="Cambria" w:eastAsia="Aptos" w:hAnsi="Cambria" w:cs="Times New Roman"/>
        </w:rPr>
        <w:t>, uređenje obalnog pojasa) koja je prethodila naplati planiranih prihoda i pomoći.</w:t>
      </w:r>
    </w:p>
    <w:p w14:paraId="4F186D06"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rPr>
        <w:t>2. Vremenski raskorak između nastanka obveza za investicije i realizacije prihoda od prodaje nefinancijske imovine.</w:t>
      </w:r>
    </w:p>
    <w:p w14:paraId="771B6EF8"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b/>
          <w:bCs/>
        </w:rPr>
        <w:t>III. MJERE ZA POKRIĆE MANJKA I URAVNOTEŽENJE</w:t>
      </w:r>
    </w:p>
    <w:p w14:paraId="727D2098"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rPr>
        <w:t xml:space="preserve">Za pokriće planiranog iznosa manjka od </w:t>
      </w:r>
      <w:r w:rsidRPr="00071560">
        <w:rPr>
          <w:rFonts w:ascii="Cambria" w:eastAsia="Aptos" w:hAnsi="Cambria" w:cs="Times New Roman"/>
          <w:b/>
          <w:bCs/>
        </w:rPr>
        <w:t>202.000,00</w:t>
      </w:r>
      <w:r w:rsidRPr="00071560">
        <w:rPr>
          <w:rFonts w:ascii="Cambria" w:eastAsia="Aptos" w:hAnsi="Cambria" w:cs="Times New Roman"/>
        </w:rPr>
        <w:t xml:space="preserve"> u 2026. godini, provodit će se sljedeće mjere:</w:t>
      </w:r>
    </w:p>
    <w:p w14:paraId="455854D7"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rPr>
        <w:t xml:space="preserve">1. </w:t>
      </w:r>
      <w:r w:rsidRPr="00071560">
        <w:rPr>
          <w:rFonts w:ascii="Cambria" w:eastAsia="Aptos" w:hAnsi="Cambria" w:cs="Times New Roman"/>
          <w:b/>
          <w:bCs/>
        </w:rPr>
        <w:t>Intenziviranje prodaje nefinancijske imovine:</w:t>
      </w:r>
      <w:r w:rsidRPr="00071560">
        <w:rPr>
          <w:rFonts w:ascii="Cambria" w:eastAsia="Aptos" w:hAnsi="Cambria" w:cs="Times New Roman"/>
        </w:rPr>
        <w:t xml:space="preserve"> U Planu proračuna za 2026. godinu planirani su prihodi od prodaje nefinancijske imovine (skupina konta 7). Ovi prihodi su ključni izvor za financiranje kapitalnih rashoda, ali i za generiranje viška potrebnog za pokriće prenesenog manjka.</w:t>
      </w:r>
    </w:p>
    <w:p w14:paraId="68BB8C0D"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rPr>
        <w:t xml:space="preserve">2. </w:t>
      </w:r>
      <w:r w:rsidRPr="00071560">
        <w:rPr>
          <w:rFonts w:ascii="Cambria" w:eastAsia="Aptos" w:hAnsi="Cambria" w:cs="Times New Roman"/>
          <w:b/>
          <w:bCs/>
        </w:rPr>
        <w:t>Korištenje EU sredstava za kapitalne projekte:</w:t>
      </w:r>
      <w:r w:rsidRPr="00071560">
        <w:rPr>
          <w:rFonts w:ascii="Cambria" w:eastAsia="Aptos" w:hAnsi="Cambria" w:cs="Times New Roman"/>
        </w:rPr>
        <w:t xml:space="preserve"> Za velike investicije u 2026. godini (poput projekta Centra za starije osobe) planirane su kapitalne pomoći temeljem prijenosa EU sredstava te namjenski primici od zaduživanja. Ovime se rasterećuju opći prihodi proračuna (izvor 1.1.) koji se oslobađaju za pokriće starog duga.</w:t>
      </w:r>
    </w:p>
    <w:p w14:paraId="7DF8C7A7"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rPr>
        <w:t xml:space="preserve">3. </w:t>
      </w:r>
      <w:r w:rsidRPr="00071560">
        <w:rPr>
          <w:rFonts w:ascii="Cambria" w:eastAsia="Aptos" w:hAnsi="Cambria" w:cs="Times New Roman"/>
          <w:b/>
          <w:bCs/>
        </w:rPr>
        <w:t>Racionalizacija materijalnih rashoda:</w:t>
      </w:r>
      <w:r w:rsidRPr="00071560">
        <w:rPr>
          <w:rFonts w:ascii="Cambria" w:eastAsia="Aptos" w:hAnsi="Cambria" w:cs="Times New Roman"/>
        </w:rPr>
        <w:t xml:space="preserve"> Rashodi poslovanja (skupina 3) planiraju se restriktivno, uz kontrolu izvršavanja stavki koje nisu nužne za redovno funkcioniranje Općine.</w:t>
      </w:r>
    </w:p>
    <w:p w14:paraId="4C105850"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b/>
          <w:bCs/>
        </w:rPr>
        <w:t>IV. PLAN POKRIĆA PO GODINAMA</w:t>
      </w:r>
    </w:p>
    <w:p w14:paraId="2A18DEA3"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rPr>
        <w:t>Manjak će se pokrivati prema sljedećoj dinamici:</w:t>
      </w:r>
    </w:p>
    <w:tbl>
      <w:tblPr>
        <w:tblStyle w:val="Svijetlareetkatablice1"/>
        <w:tblW w:w="0" w:type="auto"/>
        <w:tblLook w:val="04A0" w:firstRow="1" w:lastRow="0" w:firstColumn="1" w:lastColumn="0" w:noHBand="0" w:noVBand="1"/>
      </w:tblPr>
      <w:tblGrid>
        <w:gridCol w:w="881"/>
        <w:gridCol w:w="2845"/>
        <w:gridCol w:w="1648"/>
      </w:tblGrid>
      <w:tr w:rsidR="00071560" w:rsidRPr="00071560" w14:paraId="6224D5C6" w14:textId="77777777" w:rsidTr="006F5678">
        <w:tc>
          <w:tcPr>
            <w:tcW w:w="0" w:type="auto"/>
            <w:hideMark/>
          </w:tcPr>
          <w:p w14:paraId="1721EA6F" w14:textId="77777777" w:rsidR="00071560" w:rsidRPr="00071560" w:rsidRDefault="00071560" w:rsidP="00071560">
            <w:pPr>
              <w:spacing w:line="360" w:lineRule="auto"/>
              <w:rPr>
                <w:rFonts w:ascii="Cambria" w:eastAsia="Aptos" w:hAnsi="Cambria" w:cs="Times New Roman"/>
              </w:rPr>
            </w:pPr>
            <w:r w:rsidRPr="00071560">
              <w:rPr>
                <w:rFonts w:ascii="Cambria" w:eastAsia="Aptos" w:hAnsi="Cambria" w:cs="Times New Roman"/>
              </w:rPr>
              <w:t>Godina</w:t>
            </w:r>
          </w:p>
        </w:tc>
        <w:tc>
          <w:tcPr>
            <w:tcW w:w="0" w:type="auto"/>
            <w:hideMark/>
          </w:tcPr>
          <w:p w14:paraId="0B2B684A" w14:textId="77777777" w:rsidR="00071560" w:rsidRPr="00071560" w:rsidRDefault="00071560" w:rsidP="00071560">
            <w:pPr>
              <w:spacing w:line="360" w:lineRule="auto"/>
              <w:rPr>
                <w:rFonts w:ascii="Cambria" w:eastAsia="Aptos" w:hAnsi="Cambria" w:cs="Times New Roman"/>
              </w:rPr>
            </w:pPr>
            <w:r w:rsidRPr="00071560">
              <w:rPr>
                <w:rFonts w:ascii="Cambria" w:eastAsia="Aptos" w:hAnsi="Cambria" w:cs="Times New Roman"/>
              </w:rPr>
              <w:t>Iznos pokrića manjka (EUR)</w:t>
            </w:r>
          </w:p>
        </w:tc>
        <w:tc>
          <w:tcPr>
            <w:tcW w:w="0" w:type="auto"/>
            <w:hideMark/>
          </w:tcPr>
          <w:p w14:paraId="1B4C88B2" w14:textId="77777777" w:rsidR="00071560" w:rsidRPr="00071560" w:rsidRDefault="00071560" w:rsidP="00071560">
            <w:pPr>
              <w:spacing w:line="360" w:lineRule="auto"/>
              <w:rPr>
                <w:rFonts w:ascii="Cambria" w:eastAsia="Aptos" w:hAnsi="Cambria" w:cs="Times New Roman"/>
              </w:rPr>
            </w:pPr>
            <w:r w:rsidRPr="00071560">
              <w:rPr>
                <w:rFonts w:ascii="Cambria" w:eastAsia="Aptos" w:hAnsi="Cambria" w:cs="Times New Roman"/>
              </w:rPr>
              <w:t>Izvor sredstava</w:t>
            </w:r>
          </w:p>
        </w:tc>
      </w:tr>
      <w:tr w:rsidR="00071560" w:rsidRPr="00071560" w14:paraId="39BB4D65" w14:textId="77777777" w:rsidTr="006F5678">
        <w:tc>
          <w:tcPr>
            <w:tcW w:w="0" w:type="auto"/>
            <w:hideMark/>
          </w:tcPr>
          <w:p w14:paraId="3A2A0737" w14:textId="77777777" w:rsidR="00071560" w:rsidRPr="00071560" w:rsidRDefault="00071560" w:rsidP="00071560">
            <w:pPr>
              <w:spacing w:line="360" w:lineRule="auto"/>
              <w:rPr>
                <w:rFonts w:ascii="Cambria" w:eastAsia="Aptos" w:hAnsi="Cambria" w:cs="Times New Roman"/>
              </w:rPr>
            </w:pPr>
            <w:r w:rsidRPr="00071560">
              <w:rPr>
                <w:rFonts w:ascii="Cambria" w:eastAsia="Aptos" w:hAnsi="Cambria" w:cs="Times New Roman"/>
                <w:b/>
                <w:bCs/>
              </w:rPr>
              <w:t>2026.</w:t>
            </w:r>
          </w:p>
        </w:tc>
        <w:tc>
          <w:tcPr>
            <w:tcW w:w="0" w:type="auto"/>
            <w:hideMark/>
          </w:tcPr>
          <w:p w14:paraId="79638D3D" w14:textId="77777777" w:rsidR="00071560" w:rsidRPr="00071560" w:rsidRDefault="00071560" w:rsidP="00071560">
            <w:pPr>
              <w:spacing w:line="360" w:lineRule="auto"/>
              <w:rPr>
                <w:rFonts w:ascii="Cambria" w:eastAsia="Aptos" w:hAnsi="Cambria" w:cs="Times New Roman"/>
              </w:rPr>
            </w:pPr>
            <w:r w:rsidRPr="00071560">
              <w:rPr>
                <w:rFonts w:ascii="Cambria" w:eastAsia="Aptos" w:hAnsi="Cambria" w:cs="Times New Roman"/>
                <w:b/>
                <w:bCs/>
              </w:rPr>
              <w:t>202.000,00 €</w:t>
            </w:r>
          </w:p>
        </w:tc>
        <w:tc>
          <w:tcPr>
            <w:tcW w:w="0" w:type="auto"/>
            <w:hideMark/>
          </w:tcPr>
          <w:p w14:paraId="7B2E4934" w14:textId="77777777" w:rsidR="00071560" w:rsidRPr="00071560" w:rsidRDefault="00071560" w:rsidP="00071560">
            <w:pPr>
              <w:spacing w:line="360" w:lineRule="auto"/>
              <w:rPr>
                <w:rFonts w:ascii="Cambria" w:eastAsia="Aptos" w:hAnsi="Cambria" w:cs="Times New Roman"/>
              </w:rPr>
            </w:pPr>
            <w:r w:rsidRPr="00071560">
              <w:rPr>
                <w:rFonts w:ascii="Cambria" w:eastAsia="Aptos" w:hAnsi="Cambria" w:cs="Times New Roman"/>
              </w:rPr>
              <w:t>Višak prihoda</w:t>
            </w:r>
          </w:p>
        </w:tc>
      </w:tr>
      <w:tr w:rsidR="00071560" w:rsidRPr="00071560" w14:paraId="03286137" w14:textId="77777777" w:rsidTr="006F5678">
        <w:tc>
          <w:tcPr>
            <w:tcW w:w="0" w:type="auto"/>
            <w:hideMark/>
          </w:tcPr>
          <w:p w14:paraId="6194FF1F" w14:textId="77777777" w:rsidR="00071560" w:rsidRPr="00071560" w:rsidRDefault="00071560" w:rsidP="00071560">
            <w:pPr>
              <w:spacing w:line="360" w:lineRule="auto"/>
              <w:rPr>
                <w:rFonts w:ascii="Cambria" w:eastAsia="Aptos" w:hAnsi="Cambria" w:cs="Times New Roman"/>
              </w:rPr>
            </w:pPr>
            <w:r w:rsidRPr="00071560">
              <w:rPr>
                <w:rFonts w:ascii="Cambria" w:eastAsia="Aptos" w:hAnsi="Cambria" w:cs="Times New Roman"/>
              </w:rPr>
              <w:t>2027.</w:t>
            </w:r>
          </w:p>
        </w:tc>
        <w:tc>
          <w:tcPr>
            <w:tcW w:w="0" w:type="auto"/>
            <w:hideMark/>
          </w:tcPr>
          <w:p w14:paraId="2C0C2387" w14:textId="77777777" w:rsidR="00071560" w:rsidRPr="00071560" w:rsidRDefault="00071560" w:rsidP="00071560">
            <w:pPr>
              <w:spacing w:line="360" w:lineRule="auto"/>
              <w:rPr>
                <w:rFonts w:ascii="Cambria" w:eastAsia="Aptos" w:hAnsi="Cambria" w:cs="Times New Roman"/>
              </w:rPr>
            </w:pPr>
            <w:r w:rsidRPr="00071560">
              <w:rPr>
                <w:rFonts w:ascii="Cambria" w:eastAsia="Aptos" w:hAnsi="Cambria" w:cs="Times New Roman"/>
              </w:rPr>
              <w:t>0,00 €</w:t>
            </w:r>
          </w:p>
        </w:tc>
        <w:tc>
          <w:tcPr>
            <w:tcW w:w="0" w:type="auto"/>
            <w:hideMark/>
          </w:tcPr>
          <w:p w14:paraId="68BBAEA8" w14:textId="77777777" w:rsidR="00071560" w:rsidRPr="00071560" w:rsidRDefault="00071560" w:rsidP="00071560">
            <w:pPr>
              <w:spacing w:line="360" w:lineRule="auto"/>
              <w:rPr>
                <w:rFonts w:ascii="Cambria" w:eastAsia="Aptos" w:hAnsi="Cambria" w:cs="Times New Roman"/>
              </w:rPr>
            </w:pPr>
            <w:r w:rsidRPr="00071560">
              <w:rPr>
                <w:rFonts w:ascii="Cambria" w:eastAsia="Aptos" w:hAnsi="Cambria" w:cs="Times New Roman"/>
              </w:rPr>
              <w:t>-</w:t>
            </w:r>
          </w:p>
        </w:tc>
      </w:tr>
      <w:tr w:rsidR="00071560" w:rsidRPr="00071560" w14:paraId="6A363804" w14:textId="77777777" w:rsidTr="006F5678">
        <w:tc>
          <w:tcPr>
            <w:tcW w:w="0" w:type="auto"/>
            <w:hideMark/>
          </w:tcPr>
          <w:p w14:paraId="3F2629F6" w14:textId="77777777" w:rsidR="00071560" w:rsidRPr="00071560" w:rsidRDefault="00071560" w:rsidP="00071560">
            <w:pPr>
              <w:spacing w:line="360" w:lineRule="auto"/>
              <w:rPr>
                <w:rFonts w:ascii="Cambria" w:eastAsia="Aptos" w:hAnsi="Cambria" w:cs="Times New Roman"/>
              </w:rPr>
            </w:pPr>
            <w:r w:rsidRPr="00071560">
              <w:rPr>
                <w:rFonts w:ascii="Cambria" w:eastAsia="Aptos" w:hAnsi="Cambria" w:cs="Times New Roman"/>
              </w:rPr>
              <w:t>2028.</w:t>
            </w:r>
          </w:p>
        </w:tc>
        <w:tc>
          <w:tcPr>
            <w:tcW w:w="0" w:type="auto"/>
            <w:hideMark/>
          </w:tcPr>
          <w:p w14:paraId="362497F0" w14:textId="77777777" w:rsidR="00071560" w:rsidRPr="00071560" w:rsidRDefault="00071560" w:rsidP="00071560">
            <w:pPr>
              <w:spacing w:line="360" w:lineRule="auto"/>
              <w:rPr>
                <w:rFonts w:ascii="Cambria" w:eastAsia="Aptos" w:hAnsi="Cambria" w:cs="Times New Roman"/>
              </w:rPr>
            </w:pPr>
            <w:r w:rsidRPr="00071560">
              <w:rPr>
                <w:rFonts w:ascii="Cambria" w:eastAsia="Aptos" w:hAnsi="Cambria" w:cs="Times New Roman"/>
              </w:rPr>
              <w:t>0,00 €</w:t>
            </w:r>
          </w:p>
        </w:tc>
        <w:tc>
          <w:tcPr>
            <w:tcW w:w="0" w:type="auto"/>
            <w:hideMark/>
          </w:tcPr>
          <w:p w14:paraId="34E5AD4D" w14:textId="77777777" w:rsidR="00071560" w:rsidRPr="00071560" w:rsidRDefault="00071560" w:rsidP="00071560">
            <w:pPr>
              <w:spacing w:line="360" w:lineRule="auto"/>
              <w:rPr>
                <w:rFonts w:ascii="Cambria" w:eastAsia="Aptos" w:hAnsi="Cambria" w:cs="Times New Roman"/>
              </w:rPr>
            </w:pPr>
            <w:r w:rsidRPr="00071560">
              <w:rPr>
                <w:rFonts w:ascii="Cambria" w:eastAsia="Aptos" w:hAnsi="Cambria" w:cs="Times New Roman"/>
              </w:rPr>
              <w:t>-</w:t>
            </w:r>
          </w:p>
        </w:tc>
      </w:tr>
    </w:tbl>
    <w:p w14:paraId="3D0FD183" w14:textId="77777777" w:rsidR="00071560" w:rsidRPr="00071560" w:rsidRDefault="00071560" w:rsidP="00071560">
      <w:pPr>
        <w:spacing w:after="0" w:line="360" w:lineRule="auto"/>
        <w:jc w:val="both"/>
        <w:rPr>
          <w:rFonts w:ascii="Cambria" w:eastAsia="Aptos" w:hAnsi="Cambria" w:cs="Times New Roman"/>
          <w:b/>
          <w:bCs/>
        </w:rPr>
      </w:pPr>
    </w:p>
    <w:p w14:paraId="22E56330"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rPr>
        <w:lastRenderedPageBreak/>
        <w:t>Ovaj Plan objavit će se u „Službenim Glasniku Općine Sveti Filip i Jakov“, a stupa na snagu 1. siječnja 2026. godine.</w:t>
      </w:r>
    </w:p>
    <w:p w14:paraId="551ADEAF" w14:textId="77777777" w:rsidR="00071560" w:rsidRPr="00071560" w:rsidRDefault="00071560" w:rsidP="00071560">
      <w:pPr>
        <w:spacing w:after="0" w:line="240" w:lineRule="auto"/>
        <w:jc w:val="both"/>
        <w:rPr>
          <w:rFonts w:ascii="Cambria" w:eastAsia="Aptos" w:hAnsi="Cambria" w:cs="Times New Roman"/>
          <w:b/>
        </w:rPr>
      </w:pPr>
      <w:r w:rsidRPr="00071560">
        <w:rPr>
          <w:rFonts w:ascii="Cambria" w:eastAsia="Aptos" w:hAnsi="Cambria" w:cs="Times New Roman"/>
          <w:b/>
        </w:rPr>
        <w:t>KLASA: 400-01/25-01/06</w:t>
      </w:r>
    </w:p>
    <w:p w14:paraId="02DDCCE6" w14:textId="77777777" w:rsidR="00071560" w:rsidRPr="00071560" w:rsidRDefault="00071560" w:rsidP="00071560">
      <w:pPr>
        <w:spacing w:after="0" w:line="240" w:lineRule="auto"/>
        <w:jc w:val="both"/>
        <w:rPr>
          <w:rFonts w:ascii="Cambria" w:eastAsia="Aptos" w:hAnsi="Cambria" w:cs="Times New Roman"/>
          <w:b/>
        </w:rPr>
      </w:pPr>
      <w:r w:rsidRPr="00071560">
        <w:rPr>
          <w:rFonts w:ascii="Cambria" w:eastAsia="Aptos" w:hAnsi="Cambria" w:cs="Times New Roman"/>
          <w:b/>
        </w:rPr>
        <w:t>URBROJ: 2198-19-03-01/02-25-33</w:t>
      </w:r>
    </w:p>
    <w:p w14:paraId="120A478F" w14:textId="77777777" w:rsidR="00071560" w:rsidRPr="00071560" w:rsidRDefault="00071560" w:rsidP="00071560">
      <w:pPr>
        <w:spacing w:after="0" w:line="240" w:lineRule="auto"/>
        <w:jc w:val="both"/>
        <w:rPr>
          <w:rFonts w:ascii="Cambria" w:eastAsia="Aptos" w:hAnsi="Cambria" w:cs="Times New Roman"/>
          <w:b/>
        </w:rPr>
      </w:pPr>
      <w:r w:rsidRPr="00071560">
        <w:rPr>
          <w:rFonts w:ascii="Cambria" w:eastAsia="Aptos" w:hAnsi="Cambria" w:cs="Times New Roman"/>
          <w:b/>
        </w:rPr>
        <w:t>Sveti Filip i Jakov, 22. prosinca 2025. godine</w:t>
      </w:r>
    </w:p>
    <w:p w14:paraId="2F67EEAD" w14:textId="77777777" w:rsidR="00071560" w:rsidRPr="00071560" w:rsidRDefault="00071560" w:rsidP="00071560">
      <w:pPr>
        <w:spacing w:after="0" w:line="360" w:lineRule="auto"/>
        <w:jc w:val="both"/>
        <w:rPr>
          <w:rFonts w:ascii="Cambria" w:eastAsia="Aptos" w:hAnsi="Cambria" w:cs="Times New Roman"/>
        </w:rPr>
      </w:pPr>
    </w:p>
    <w:p w14:paraId="413C3665" w14:textId="77777777" w:rsidR="00071560" w:rsidRPr="00071560" w:rsidRDefault="00071560" w:rsidP="00071560">
      <w:pPr>
        <w:spacing w:after="0" w:line="360" w:lineRule="auto"/>
        <w:jc w:val="center"/>
        <w:rPr>
          <w:rFonts w:ascii="Cambria" w:eastAsia="Aptos" w:hAnsi="Cambria" w:cs="Times New Roman"/>
          <w:b/>
        </w:rPr>
      </w:pPr>
      <w:r w:rsidRPr="00071560">
        <w:rPr>
          <w:rFonts w:ascii="Cambria" w:eastAsia="Aptos" w:hAnsi="Cambria" w:cs="Times New Roman"/>
          <w:b/>
        </w:rPr>
        <w:t>OPĆINSKO VIJEĆE OPĆINE SVETI FILIP I JAKOV</w:t>
      </w:r>
    </w:p>
    <w:p w14:paraId="3DFF8879"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rPr>
        <w:tab/>
      </w:r>
      <w:r w:rsidRPr="00071560">
        <w:rPr>
          <w:rFonts w:ascii="Cambria" w:eastAsia="Aptos" w:hAnsi="Cambria" w:cs="Times New Roman"/>
        </w:rPr>
        <w:tab/>
      </w:r>
      <w:r w:rsidRPr="00071560">
        <w:rPr>
          <w:rFonts w:ascii="Cambria" w:eastAsia="Aptos" w:hAnsi="Cambria" w:cs="Times New Roman"/>
        </w:rPr>
        <w:tab/>
      </w:r>
      <w:r w:rsidRPr="00071560">
        <w:rPr>
          <w:rFonts w:ascii="Cambria" w:eastAsia="Aptos" w:hAnsi="Cambria" w:cs="Times New Roman"/>
        </w:rPr>
        <w:tab/>
      </w:r>
      <w:r w:rsidRPr="00071560">
        <w:rPr>
          <w:rFonts w:ascii="Cambria" w:eastAsia="Aptos" w:hAnsi="Cambria" w:cs="Times New Roman"/>
        </w:rPr>
        <w:tab/>
      </w:r>
      <w:r w:rsidRPr="00071560">
        <w:rPr>
          <w:rFonts w:ascii="Cambria" w:eastAsia="Aptos" w:hAnsi="Cambria" w:cs="Times New Roman"/>
        </w:rPr>
        <w:tab/>
      </w:r>
      <w:r w:rsidRPr="00071560">
        <w:rPr>
          <w:rFonts w:ascii="Cambria" w:eastAsia="Aptos" w:hAnsi="Cambria" w:cs="Times New Roman"/>
        </w:rPr>
        <w:tab/>
      </w:r>
      <w:r w:rsidRPr="00071560">
        <w:rPr>
          <w:rFonts w:ascii="Cambria" w:eastAsia="Aptos" w:hAnsi="Cambria" w:cs="Times New Roman"/>
        </w:rPr>
        <w:tab/>
        <w:t xml:space="preserve">Predsjednik Općinskog vijeća </w:t>
      </w:r>
    </w:p>
    <w:p w14:paraId="0F236440" w14:textId="77777777" w:rsidR="00071560" w:rsidRPr="00071560" w:rsidRDefault="00071560" w:rsidP="00071560">
      <w:pPr>
        <w:spacing w:after="0" w:line="360" w:lineRule="auto"/>
        <w:jc w:val="both"/>
        <w:rPr>
          <w:rFonts w:ascii="Cambria" w:eastAsia="Aptos" w:hAnsi="Cambria" w:cs="Times New Roman"/>
        </w:rPr>
      </w:pPr>
      <w:r w:rsidRPr="00071560">
        <w:rPr>
          <w:rFonts w:ascii="Cambria" w:eastAsia="Aptos" w:hAnsi="Cambria" w:cs="Times New Roman"/>
        </w:rPr>
        <w:tab/>
      </w:r>
      <w:r w:rsidRPr="00071560">
        <w:rPr>
          <w:rFonts w:ascii="Cambria" w:eastAsia="Aptos" w:hAnsi="Cambria" w:cs="Times New Roman"/>
        </w:rPr>
        <w:tab/>
      </w:r>
      <w:r w:rsidRPr="00071560">
        <w:rPr>
          <w:rFonts w:ascii="Cambria" w:eastAsia="Aptos" w:hAnsi="Cambria" w:cs="Times New Roman"/>
        </w:rPr>
        <w:tab/>
      </w:r>
      <w:r w:rsidRPr="00071560">
        <w:rPr>
          <w:rFonts w:ascii="Cambria" w:eastAsia="Aptos" w:hAnsi="Cambria" w:cs="Times New Roman"/>
        </w:rPr>
        <w:tab/>
      </w:r>
      <w:r w:rsidRPr="00071560">
        <w:rPr>
          <w:rFonts w:ascii="Cambria" w:eastAsia="Aptos" w:hAnsi="Cambria" w:cs="Times New Roman"/>
        </w:rPr>
        <w:tab/>
      </w:r>
      <w:r w:rsidRPr="00071560">
        <w:rPr>
          <w:rFonts w:ascii="Cambria" w:eastAsia="Aptos" w:hAnsi="Cambria" w:cs="Times New Roman"/>
        </w:rPr>
        <w:tab/>
      </w:r>
      <w:r w:rsidRPr="00071560">
        <w:rPr>
          <w:rFonts w:ascii="Cambria" w:eastAsia="Aptos" w:hAnsi="Cambria" w:cs="Times New Roman"/>
        </w:rPr>
        <w:tab/>
      </w:r>
      <w:r w:rsidRPr="00071560">
        <w:rPr>
          <w:rFonts w:ascii="Cambria" w:eastAsia="Aptos" w:hAnsi="Cambria" w:cs="Times New Roman"/>
        </w:rPr>
        <w:tab/>
      </w:r>
      <w:r w:rsidRPr="00071560">
        <w:rPr>
          <w:rFonts w:ascii="Cambria" w:eastAsia="Aptos" w:hAnsi="Cambria" w:cs="Times New Roman"/>
        </w:rPr>
        <w:tab/>
        <w:t xml:space="preserve">Igor </w:t>
      </w:r>
      <w:proofErr w:type="spellStart"/>
      <w:r w:rsidRPr="00071560">
        <w:rPr>
          <w:rFonts w:ascii="Cambria" w:eastAsia="Aptos" w:hAnsi="Cambria" w:cs="Times New Roman"/>
        </w:rPr>
        <w:t>Pedisić</w:t>
      </w:r>
      <w:proofErr w:type="spellEnd"/>
    </w:p>
    <w:p w14:paraId="5BC99A01" w14:textId="77777777" w:rsidR="00071560" w:rsidRPr="00071560" w:rsidRDefault="00071560" w:rsidP="00071560">
      <w:pPr>
        <w:spacing w:after="0" w:line="360" w:lineRule="auto"/>
        <w:jc w:val="both"/>
        <w:rPr>
          <w:rFonts w:ascii="Cambria" w:eastAsia="Aptos" w:hAnsi="Cambria" w:cs="Times New Roman"/>
        </w:rPr>
      </w:pPr>
    </w:p>
    <w:p w14:paraId="26A8828A" w14:textId="77777777" w:rsidR="00250C66" w:rsidRDefault="00250C66"/>
    <w:sectPr w:rsidR="00250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7B"/>
    <w:rsid w:val="00071560"/>
    <w:rsid w:val="00157283"/>
    <w:rsid w:val="00210A63"/>
    <w:rsid w:val="00250C66"/>
    <w:rsid w:val="00372B20"/>
    <w:rsid w:val="00A16E6F"/>
    <w:rsid w:val="00A42C7B"/>
    <w:rsid w:val="00A907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95FBA-71AA-44CA-A475-3F7867CD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42C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42C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42C7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42C7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42C7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42C7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42C7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42C7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42C7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42C7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42C7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42C7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42C7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42C7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42C7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42C7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42C7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42C7B"/>
    <w:rPr>
      <w:rFonts w:eastAsiaTheme="majorEastAsia" w:cstheme="majorBidi"/>
      <w:color w:val="272727" w:themeColor="text1" w:themeTint="D8"/>
    </w:rPr>
  </w:style>
  <w:style w:type="paragraph" w:styleId="Naslov">
    <w:name w:val="Title"/>
    <w:basedOn w:val="Normal"/>
    <w:next w:val="Normal"/>
    <w:link w:val="NaslovChar"/>
    <w:uiPriority w:val="10"/>
    <w:qFormat/>
    <w:rsid w:val="00A42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42C7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42C7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42C7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42C7B"/>
    <w:pPr>
      <w:spacing w:before="160"/>
      <w:jc w:val="center"/>
    </w:pPr>
    <w:rPr>
      <w:i/>
      <w:iCs/>
      <w:color w:val="404040" w:themeColor="text1" w:themeTint="BF"/>
    </w:rPr>
  </w:style>
  <w:style w:type="character" w:customStyle="1" w:styleId="CitatChar">
    <w:name w:val="Citat Char"/>
    <w:basedOn w:val="Zadanifontodlomka"/>
    <w:link w:val="Citat"/>
    <w:uiPriority w:val="29"/>
    <w:rsid w:val="00A42C7B"/>
    <w:rPr>
      <w:i/>
      <w:iCs/>
      <w:color w:val="404040" w:themeColor="text1" w:themeTint="BF"/>
    </w:rPr>
  </w:style>
  <w:style w:type="paragraph" w:styleId="Odlomakpopisa">
    <w:name w:val="List Paragraph"/>
    <w:basedOn w:val="Normal"/>
    <w:uiPriority w:val="34"/>
    <w:qFormat/>
    <w:rsid w:val="00A42C7B"/>
    <w:pPr>
      <w:ind w:left="720"/>
      <w:contextualSpacing/>
    </w:pPr>
  </w:style>
  <w:style w:type="character" w:styleId="Jakoisticanje">
    <w:name w:val="Intense Emphasis"/>
    <w:basedOn w:val="Zadanifontodlomka"/>
    <w:uiPriority w:val="21"/>
    <w:qFormat/>
    <w:rsid w:val="00A42C7B"/>
    <w:rPr>
      <w:i/>
      <w:iCs/>
      <w:color w:val="2F5496" w:themeColor="accent1" w:themeShade="BF"/>
    </w:rPr>
  </w:style>
  <w:style w:type="paragraph" w:styleId="Naglaencitat">
    <w:name w:val="Intense Quote"/>
    <w:basedOn w:val="Normal"/>
    <w:next w:val="Normal"/>
    <w:link w:val="NaglaencitatChar"/>
    <w:uiPriority w:val="30"/>
    <w:qFormat/>
    <w:rsid w:val="00A42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42C7B"/>
    <w:rPr>
      <w:i/>
      <w:iCs/>
      <w:color w:val="2F5496" w:themeColor="accent1" w:themeShade="BF"/>
    </w:rPr>
  </w:style>
  <w:style w:type="character" w:styleId="Istaknutareferenca">
    <w:name w:val="Intense Reference"/>
    <w:basedOn w:val="Zadanifontodlomka"/>
    <w:uiPriority w:val="32"/>
    <w:qFormat/>
    <w:rsid w:val="00A42C7B"/>
    <w:rPr>
      <w:b/>
      <w:bCs/>
      <w:smallCaps/>
      <w:color w:val="2F5496" w:themeColor="accent1" w:themeShade="BF"/>
      <w:spacing w:val="5"/>
    </w:rPr>
  </w:style>
  <w:style w:type="table" w:customStyle="1" w:styleId="Svijetlareetkatablice1">
    <w:name w:val="Svijetla rešetka tablice1"/>
    <w:basedOn w:val="Obinatablica"/>
    <w:uiPriority w:val="40"/>
    <w:rsid w:val="00071560"/>
    <w:pPr>
      <w:spacing w:after="0" w:line="240" w:lineRule="auto"/>
      <w:jc w:val="both"/>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MOBES KVALITETA</dc:creator>
  <cp:keywords/>
  <dc:description/>
  <cp:lastModifiedBy>MOBES KVALITETA</cp:lastModifiedBy>
  <cp:revision>2</cp:revision>
  <dcterms:created xsi:type="dcterms:W3CDTF">2026-01-15T11:04:00Z</dcterms:created>
  <dcterms:modified xsi:type="dcterms:W3CDTF">2026-01-15T11:04:00Z</dcterms:modified>
</cp:coreProperties>
</file>